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7F" w:rsidRDefault="00894B81">
      <w:pPr>
        <w:pStyle w:val="DocumentTitle-HCG"/>
        <w:rPr>
          <w:szCs w:val="32"/>
        </w:rPr>
      </w:pPr>
      <w:r>
        <w:rPr>
          <w:szCs w:val="32"/>
        </w:rPr>
        <w:t>SOP: Designated Reviewers</w:t>
      </w:r>
      <w:r>
        <w:rPr>
          <w:sz w:val="22"/>
          <w:szCs w:val="22"/>
        </w:rPr>
        <w:t xml:space="preserve"> </w:t>
      </w:r>
    </w:p>
    <w:p w:rsidR="00CF2B7F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procedure establishes the process for an IRB chair to designate IRB members who can conduct </w:t>
      </w:r>
      <w:r>
        <w:rPr>
          <w:rFonts w:cs="Arial"/>
          <w:sz w:val="22"/>
          <w:szCs w:val="22"/>
          <w:u w:val="double"/>
        </w:rPr>
        <w:t>Non-Committee Reviews</w:t>
      </w:r>
      <w:r>
        <w:rPr>
          <w:rFonts w:cs="Arial"/>
          <w:sz w:val="22"/>
          <w:szCs w:val="22"/>
        </w:rPr>
        <w:t>.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 IRB chair instructs IRB staff to designate an </w:t>
      </w:r>
      <w:r>
        <w:rPr>
          <w:rFonts w:cs="Arial"/>
          <w:sz w:val="22"/>
          <w:szCs w:val="22"/>
          <w:u w:val="double"/>
        </w:rPr>
        <w:t>Experienced IRB Member</w:t>
      </w:r>
      <w:r>
        <w:rPr>
          <w:rFonts w:cs="Arial"/>
          <w:sz w:val="22"/>
          <w:szCs w:val="22"/>
        </w:rPr>
        <w:t xml:space="preserve"> to conduct </w:t>
      </w:r>
      <w:r>
        <w:rPr>
          <w:rFonts w:cs="Arial"/>
          <w:sz w:val="22"/>
          <w:szCs w:val="22"/>
          <w:u w:val="double"/>
        </w:rPr>
        <w:t>Non-Committee Reviews</w:t>
      </w:r>
      <w:r>
        <w:rPr>
          <w:rFonts w:cs="Arial"/>
          <w:sz w:val="22"/>
          <w:szCs w:val="22"/>
        </w:rPr>
        <w:t>.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IRB member has been noted in the IRB roster to conduct </w:t>
      </w:r>
      <w:r>
        <w:rPr>
          <w:rFonts w:cs="Arial"/>
          <w:sz w:val="22"/>
          <w:szCs w:val="22"/>
          <w:u w:val="double"/>
        </w:rPr>
        <w:t>Non-Committee Reviews.</w:t>
      </w:r>
    </w:p>
    <w:p w:rsidR="00CF2B7F" w:rsidRDefault="00894B81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CF2B7F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IRB rosters are maintained using </w:t>
      </w:r>
      <w:r w:rsidRPr="00C83B4B">
        <w:rPr>
          <w:rFonts w:cs="Arial"/>
          <w:sz w:val="22"/>
          <w:szCs w:val="22"/>
        </w:rPr>
        <w:t>HRP-601 - DATABASE - IRB Roster</w:t>
      </w:r>
      <w:r>
        <w:rPr>
          <w:rFonts w:cs="Arial"/>
          <w:sz w:val="22"/>
          <w:szCs w:val="22"/>
        </w:rPr>
        <w:t>.</w:t>
      </w:r>
    </w:p>
    <w:p w:rsidR="00CF2B7F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bookmarkStart w:id="0" w:name="_GoBack"/>
      <w:r w:rsidRPr="00230FF9">
        <w:rPr>
          <w:rFonts w:cs="Arial"/>
          <w:sz w:val="22"/>
          <w:szCs w:val="22"/>
        </w:rPr>
        <w:t>IRB staff members carry out these procedures.</w:t>
      </w:r>
    </w:p>
    <w:p w:rsidR="00BC4F3E" w:rsidRPr="00230FF9" w:rsidRDefault="00BC4F3E">
      <w:pPr>
        <w:pStyle w:val="SOPLevel2"/>
        <w:spacing w:line="276" w:lineRule="auto"/>
        <w:rPr>
          <w:rFonts w:cs="Arial"/>
          <w:sz w:val="22"/>
          <w:szCs w:val="22"/>
        </w:rPr>
      </w:pPr>
      <w:r w:rsidRPr="00230FF9">
        <w:rPr>
          <w:rFonts w:cs="Arial"/>
          <w:sz w:val="22"/>
          <w:szCs w:val="22"/>
        </w:rPr>
        <w:t xml:space="preserve">The IRB Chair designates IRB Members who can conduct </w:t>
      </w:r>
      <w:r w:rsidRPr="00230FF9">
        <w:rPr>
          <w:rFonts w:cs="Arial"/>
          <w:sz w:val="22"/>
          <w:szCs w:val="22"/>
          <w:u w:val="double"/>
        </w:rPr>
        <w:t>Non-Committee Reviews.</w:t>
      </w:r>
    </w:p>
    <w:p w:rsidR="00CF2B7F" w:rsidRPr="00230FF9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 w:rsidRPr="00230FF9">
        <w:rPr>
          <w:rFonts w:cs="Arial"/>
          <w:sz w:val="22"/>
          <w:szCs w:val="22"/>
        </w:rPr>
        <w:t>PROCEDURE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  <w:u w:val="double"/>
        </w:rPr>
      </w:pPr>
      <w:r w:rsidRPr="00230FF9">
        <w:rPr>
          <w:rFonts w:cs="Arial"/>
          <w:sz w:val="22"/>
          <w:szCs w:val="22"/>
        </w:rPr>
        <w:t xml:space="preserve">Obtain from the IRB chair the name of the IRB member designated to conduct </w:t>
      </w:r>
      <w:r w:rsidRPr="00230FF9">
        <w:rPr>
          <w:rFonts w:cs="Arial"/>
          <w:sz w:val="22"/>
          <w:szCs w:val="22"/>
          <w:u w:val="double"/>
        </w:rPr>
        <w:t>Non-Committee Reviews.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 w:rsidRPr="00230FF9">
        <w:rPr>
          <w:rFonts w:cs="Arial"/>
          <w:sz w:val="22"/>
          <w:szCs w:val="22"/>
        </w:rPr>
        <w:t>Review list of IRB members designated to conduct Non-Committee Reviews in the “Assign Designated Reviewer” activity.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 w:rsidRPr="00230FF9">
        <w:rPr>
          <w:rFonts w:cs="Arial"/>
          <w:sz w:val="22"/>
          <w:szCs w:val="22"/>
        </w:rPr>
        <w:t xml:space="preserve">Verify </w:t>
      </w:r>
      <w:r w:rsidR="00BC4F3E" w:rsidRPr="00230FF9">
        <w:rPr>
          <w:rFonts w:cs="Arial"/>
          <w:sz w:val="22"/>
          <w:szCs w:val="22"/>
        </w:rPr>
        <w:t xml:space="preserve">with the IRB Chair </w:t>
      </w:r>
      <w:r w:rsidRPr="00230FF9">
        <w:rPr>
          <w:rFonts w:cs="Arial"/>
          <w:sz w:val="22"/>
          <w:szCs w:val="22"/>
        </w:rPr>
        <w:t xml:space="preserve">that the IRB member is an </w:t>
      </w:r>
      <w:r w:rsidRPr="00230FF9">
        <w:rPr>
          <w:rFonts w:cs="Arial"/>
          <w:sz w:val="22"/>
          <w:szCs w:val="22"/>
          <w:u w:val="double"/>
        </w:rPr>
        <w:t>Experienced IRB Member.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  <w:u w:val="double"/>
        </w:rPr>
      </w:pPr>
      <w:r w:rsidRPr="00230FF9">
        <w:rPr>
          <w:rFonts w:cs="Arial"/>
          <w:sz w:val="22"/>
          <w:szCs w:val="22"/>
        </w:rPr>
        <w:t xml:space="preserve">Update HRP-601 - DATABASE - IRB Roster to indicate that the IRB member is a </w:t>
      </w:r>
      <w:r w:rsidRPr="00230FF9">
        <w:rPr>
          <w:rFonts w:cs="Arial"/>
          <w:sz w:val="22"/>
          <w:szCs w:val="22"/>
          <w:u w:val="double"/>
        </w:rPr>
        <w:t>Designated Reviewer.</w:t>
      </w:r>
    </w:p>
    <w:p w:rsidR="00CF2B7F" w:rsidRPr="00230FF9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 w:rsidRPr="00230FF9">
        <w:rPr>
          <w:rFonts w:cs="Arial"/>
          <w:sz w:val="22"/>
          <w:szCs w:val="22"/>
        </w:rPr>
        <w:t xml:space="preserve">Use the “Update Eligible Designated Reviewers” activity to indicate that the IRB member is a </w:t>
      </w:r>
      <w:r w:rsidRPr="00230FF9">
        <w:rPr>
          <w:rFonts w:cs="Arial"/>
          <w:sz w:val="22"/>
          <w:szCs w:val="22"/>
          <w:u w:val="double"/>
        </w:rPr>
        <w:t>Designated Reviewer</w:t>
      </w:r>
      <w:r w:rsidRPr="00230FF9">
        <w:rPr>
          <w:rFonts w:cs="Arial"/>
          <w:sz w:val="22"/>
          <w:szCs w:val="22"/>
        </w:rPr>
        <w:t>.</w:t>
      </w:r>
    </w:p>
    <w:bookmarkEnd w:id="0"/>
    <w:p w:rsidR="00CF2B7F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CF2B7F" w:rsidRPr="00C83B4B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 w:rsidRPr="00C83B4B">
        <w:rPr>
          <w:rFonts w:cs="Arial"/>
          <w:sz w:val="22"/>
          <w:szCs w:val="22"/>
        </w:rPr>
        <w:t>HRP-601 - DATABASE - IRB Roster</w:t>
      </w:r>
    </w:p>
    <w:p w:rsidR="00CF2B7F" w:rsidRDefault="00894B8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§56.110(b).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§46.110(b).</w:t>
      </w:r>
    </w:p>
    <w:p w:rsidR="00CF2B7F" w:rsidRDefault="00894B8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I.1.A, I-9, II.2.A, II.2.B, II.2.D, II.2.F-II.2.F.3</w:t>
      </w:r>
    </w:p>
    <w:sectPr w:rsidR="00CF2B7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09" w:rsidRDefault="001D3E09" w:rsidP="00855EE6">
      <w:pPr>
        <w:spacing w:after="0" w:line="240" w:lineRule="auto"/>
      </w:pPr>
      <w:r>
        <w:separator/>
      </w:r>
    </w:p>
  </w:endnote>
  <w:endnote w:type="continuationSeparator" w:id="0">
    <w:p w:rsidR="001D3E09" w:rsidRDefault="001D3E09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7F" w:rsidRDefault="00894B8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358F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358F6">
      <w:rPr>
        <w:b/>
        <w:bCs/>
        <w:noProof/>
      </w:rPr>
      <w:t>2</w:t>
    </w:r>
    <w:r>
      <w:rPr>
        <w:b/>
        <w:bCs/>
      </w:rPr>
      <w:fldChar w:fldCharType="end"/>
    </w:r>
  </w:p>
  <w:p w:rsidR="00CF2B7F" w:rsidRDefault="00894B81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CF2B7F" w:rsidRDefault="00894B81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CF2B7F" w:rsidRDefault="00894B81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3E" w:rsidRPr="00230FF9" w:rsidRDefault="00894B81" w:rsidP="00230FF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30F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30FF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09" w:rsidRDefault="001D3E09" w:rsidP="00855EE6">
      <w:pPr>
        <w:spacing w:after="0" w:line="240" w:lineRule="auto"/>
      </w:pPr>
      <w:r>
        <w:separator/>
      </w:r>
    </w:p>
  </w:footnote>
  <w:footnote w:type="continuationSeparator" w:id="0">
    <w:p w:rsidR="001D3E09" w:rsidRDefault="001D3E09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7F" w:rsidRDefault="00894B81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FCA5B03" wp14:editId="11126D8A">
          <wp:extent cx="1627067" cy="515620"/>
          <wp:effectExtent l="0" t="0" r="0" b="0"/>
          <wp:docPr id="4" name="Picture 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B7F" w:rsidRDefault="00CF2B7F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02194C" w:rsidRPr="0007408F" w:rsidTr="005014DA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2194C" w:rsidRPr="0007408F" w:rsidRDefault="0002194C" w:rsidP="0002194C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3318FD98" wp14:editId="60C58662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194C" w:rsidRPr="0007408F" w:rsidRDefault="0002194C" w:rsidP="0002194C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Designated Reviewers</w:t>
          </w:r>
        </w:p>
      </w:tc>
    </w:tr>
    <w:tr w:rsidR="0002194C" w:rsidRPr="0007408F" w:rsidTr="005014D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2194C" w:rsidRPr="0007408F" w:rsidRDefault="0002194C" w:rsidP="0002194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02194C" w:rsidRPr="0007408F" w:rsidTr="005014D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2194C" w:rsidRPr="0007408F" w:rsidRDefault="0002194C" w:rsidP="0002194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30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2194C" w:rsidRPr="0007408F" w:rsidRDefault="0002194C" w:rsidP="0002194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230FF9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230FF9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CF2B7F" w:rsidRDefault="00CF2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3366"/>
        </w:tabs>
        <w:ind w:left="300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2194C"/>
    <w:rsid w:val="00073852"/>
    <w:rsid w:val="00082AFF"/>
    <w:rsid w:val="00095BC7"/>
    <w:rsid w:val="00097C68"/>
    <w:rsid w:val="000E220B"/>
    <w:rsid w:val="000F5F1B"/>
    <w:rsid w:val="00112F1A"/>
    <w:rsid w:val="00150F7C"/>
    <w:rsid w:val="001D3E09"/>
    <w:rsid w:val="00213866"/>
    <w:rsid w:val="00216912"/>
    <w:rsid w:val="00230FF9"/>
    <w:rsid w:val="002358F6"/>
    <w:rsid w:val="00272E9B"/>
    <w:rsid w:val="002A0DD4"/>
    <w:rsid w:val="002B681F"/>
    <w:rsid w:val="00326316"/>
    <w:rsid w:val="00326970"/>
    <w:rsid w:val="0034262A"/>
    <w:rsid w:val="0035722D"/>
    <w:rsid w:val="00376FA0"/>
    <w:rsid w:val="00397D6B"/>
    <w:rsid w:val="003E5AE2"/>
    <w:rsid w:val="003F35F5"/>
    <w:rsid w:val="00413B76"/>
    <w:rsid w:val="00432636"/>
    <w:rsid w:val="00433C87"/>
    <w:rsid w:val="004709CB"/>
    <w:rsid w:val="004B05DE"/>
    <w:rsid w:val="004E2CCD"/>
    <w:rsid w:val="00512CDD"/>
    <w:rsid w:val="005678B9"/>
    <w:rsid w:val="00574247"/>
    <w:rsid w:val="0059053B"/>
    <w:rsid w:val="005C5C4B"/>
    <w:rsid w:val="005E09CA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254F1"/>
    <w:rsid w:val="007469E0"/>
    <w:rsid w:val="0076301A"/>
    <w:rsid w:val="007B1A29"/>
    <w:rsid w:val="00821C23"/>
    <w:rsid w:val="0084152D"/>
    <w:rsid w:val="00855EE6"/>
    <w:rsid w:val="0086083E"/>
    <w:rsid w:val="00872DA6"/>
    <w:rsid w:val="00884D82"/>
    <w:rsid w:val="00891FE9"/>
    <w:rsid w:val="00892392"/>
    <w:rsid w:val="00893D51"/>
    <w:rsid w:val="00894B81"/>
    <w:rsid w:val="008B0231"/>
    <w:rsid w:val="008B32E5"/>
    <w:rsid w:val="008B3D20"/>
    <w:rsid w:val="00915462"/>
    <w:rsid w:val="00917358"/>
    <w:rsid w:val="009C1EE8"/>
    <w:rsid w:val="009F13FC"/>
    <w:rsid w:val="00AC2F0C"/>
    <w:rsid w:val="00AC4ED1"/>
    <w:rsid w:val="00B23768"/>
    <w:rsid w:val="00B23D93"/>
    <w:rsid w:val="00B54DF7"/>
    <w:rsid w:val="00B61F4A"/>
    <w:rsid w:val="00BB2AC7"/>
    <w:rsid w:val="00BC4F3E"/>
    <w:rsid w:val="00BE71BC"/>
    <w:rsid w:val="00BF2F85"/>
    <w:rsid w:val="00C11900"/>
    <w:rsid w:val="00C30FFF"/>
    <w:rsid w:val="00C468AA"/>
    <w:rsid w:val="00C536C2"/>
    <w:rsid w:val="00C75CAF"/>
    <w:rsid w:val="00C83B4B"/>
    <w:rsid w:val="00C97E43"/>
    <w:rsid w:val="00CF1858"/>
    <w:rsid w:val="00CF2B7F"/>
    <w:rsid w:val="00D35E6A"/>
    <w:rsid w:val="00D926D2"/>
    <w:rsid w:val="00E0288C"/>
    <w:rsid w:val="00E03D8D"/>
    <w:rsid w:val="00E33C34"/>
    <w:rsid w:val="00E34769"/>
    <w:rsid w:val="00E61D55"/>
    <w:rsid w:val="00EE39FA"/>
    <w:rsid w:val="00EF642F"/>
    <w:rsid w:val="00F116D8"/>
    <w:rsid w:val="00F21D47"/>
    <w:rsid w:val="00F40567"/>
    <w:rsid w:val="00F50B95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03C161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tabs>
        <w:tab w:val="clear" w:pos="3366"/>
        <w:tab w:val="num" w:pos="936"/>
      </w:tabs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2194C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2194C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02194C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2194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4385ab65-09ca-4886-862c-f1f34fdd81c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c2ea0786-c62f-461e-8137-5f11c0e771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91DC7-13F1-401E-B757-4B12B438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2023-06-14T20:59:00Z</dcterms:created>
  <dcterms:modified xsi:type="dcterms:W3CDTF">2023-06-14T20:59:00Z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